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15" w:rsidRPr="00CE2315" w:rsidRDefault="00CE2315" w:rsidP="00CE2315">
      <w:pPr>
        <w:jc w:val="center"/>
        <w:rPr>
          <w:rFonts w:ascii="Times New Roman" w:hAnsi="Times New Roman" w:cs="Times New Roman"/>
          <w:b/>
          <w:sz w:val="28"/>
          <w:szCs w:val="28"/>
        </w:rPr>
      </w:pPr>
      <w:bookmarkStart w:id="0" w:name="_GoBack"/>
      <w:r w:rsidRPr="00CE2315">
        <w:rPr>
          <w:b/>
          <w:sz w:val="28"/>
          <w:szCs w:val="28"/>
        </w:rPr>
        <w:t>Указания</w:t>
      </w:r>
    </w:p>
    <w:p w:rsidR="00CE2315" w:rsidRPr="00CE2315" w:rsidRDefault="00CE2315" w:rsidP="00CE2315">
      <w:pPr>
        <w:jc w:val="center"/>
        <w:rPr>
          <w:rFonts w:ascii="Times New Roman" w:hAnsi="Times New Roman" w:cs="Times New Roman"/>
          <w:b/>
          <w:sz w:val="28"/>
          <w:szCs w:val="28"/>
        </w:rPr>
      </w:pPr>
      <w:r w:rsidRPr="00CE2315">
        <w:rPr>
          <w:rFonts w:ascii="Times New Roman" w:hAnsi="Times New Roman" w:cs="Times New Roman"/>
          <w:b/>
          <w:sz w:val="28"/>
          <w:szCs w:val="28"/>
        </w:rPr>
        <w:t>по заполнению формы</w:t>
      </w:r>
      <w:bookmarkEnd w:id="0"/>
      <w:r w:rsidRPr="00CE2315">
        <w:rPr>
          <w:rFonts w:ascii="Times New Roman" w:hAnsi="Times New Roman" w:cs="Times New Roman"/>
          <w:b/>
          <w:sz w:val="28"/>
          <w:szCs w:val="28"/>
        </w:rPr>
        <w:t xml:space="preserve"> федерального статистического наблюдения</w:t>
      </w:r>
    </w:p>
    <w:p w:rsidR="00CE2315" w:rsidRPr="00CE2315" w:rsidRDefault="00CE2315" w:rsidP="00CE2315">
      <w:pPr>
        <w:jc w:val="center"/>
        <w:rPr>
          <w:rFonts w:ascii="Times New Roman" w:hAnsi="Times New Roman" w:cs="Times New Roman"/>
          <w:b/>
          <w:sz w:val="28"/>
          <w:szCs w:val="28"/>
        </w:rPr>
      </w:pP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 xml:space="preserve">1. </w:t>
      </w:r>
      <w:proofErr w:type="gramStart"/>
      <w:r w:rsidRPr="00CE2315">
        <w:rPr>
          <w:rFonts w:ascii="Times New Roman" w:hAnsi="Times New Roman" w:cs="Times New Roman"/>
          <w:sz w:val="28"/>
          <w:szCs w:val="28"/>
        </w:rPr>
        <w:t>Форму федерального статистического наблюдения N 2-ТР (</w:t>
      </w:r>
      <w:proofErr w:type="spellStart"/>
      <w:r w:rsidRPr="00CE2315">
        <w:rPr>
          <w:rFonts w:ascii="Times New Roman" w:hAnsi="Times New Roman" w:cs="Times New Roman"/>
          <w:sz w:val="28"/>
          <w:szCs w:val="28"/>
        </w:rPr>
        <w:t>жел</w:t>
      </w:r>
      <w:proofErr w:type="spellEnd"/>
      <w:r w:rsidRPr="00CE2315">
        <w:rPr>
          <w:rFonts w:ascii="Times New Roman" w:hAnsi="Times New Roman" w:cs="Times New Roman"/>
          <w:sz w:val="28"/>
          <w:szCs w:val="28"/>
        </w:rPr>
        <w:t xml:space="preserve">) "Сведения о наличии железнодорожного подвижного состав для перевозок по сети железных дорог общего пользования и основных показателях деятельности промышленного железнодорожного транспорта" (далее - форма) предоставляют юридические лица (кроме </w:t>
      </w:r>
      <w:proofErr w:type="spellStart"/>
      <w:r w:rsidRPr="00CE2315">
        <w:rPr>
          <w:rFonts w:ascii="Times New Roman" w:hAnsi="Times New Roman" w:cs="Times New Roman"/>
          <w:sz w:val="28"/>
          <w:szCs w:val="28"/>
        </w:rPr>
        <w:t>микропредприятий</w:t>
      </w:r>
      <w:proofErr w:type="spellEnd"/>
      <w:r w:rsidRPr="00CE2315">
        <w:rPr>
          <w:rFonts w:ascii="Times New Roman" w:hAnsi="Times New Roman" w:cs="Times New Roman"/>
          <w:sz w:val="28"/>
          <w:szCs w:val="28"/>
        </w:rPr>
        <w:t xml:space="preserve">), имеющие на своем балансе пассажирский и грузовой подвижной состав, предназначенный для перевозок по сети железнодорожных дорог общего пользования, и юридические лица (кроме </w:t>
      </w:r>
      <w:proofErr w:type="spellStart"/>
      <w:r w:rsidRPr="00CE2315">
        <w:rPr>
          <w:rFonts w:ascii="Times New Roman" w:hAnsi="Times New Roman" w:cs="Times New Roman"/>
          <w:sz w:val="28"/>
          <w:szCs w:val="28"/>
        </w:rPr>
        <w:t>микропредприятий</w:t>
      </w:r>
      <w:proofErr w:type="spellEnd"/>
      <w:r w:rsidRPr="00CE2315">
        <w:rPr>
          <w:rFonts w:ascii="Times New Roman" w:hAnsi="Times New Roman" w:cs="Times New Roman"/>
          <w:sz w:val="28"/>
          <w:szCs w:val="28"/>
        </w:rPr>
        <w:t>), имеющие на</w:t>
      </w:r>
      <w:proofErr w:type="gramEnd"/>
      <w:r w:rsidRPr="00CE2315">
        <w:rPr>
          <w:rFonts w:ascii="Times New Roman" w:hAnsi="Times New Roman" w:cs="Times New Roman"/>
          <w:sz w:val="28"/>
          <w:szCs w:val="28"/>
        </w:rPr>
        <w:t xml:space="preserve"> </w:t>
      </w:r>
      <w:proofErr w:type="gramStart"/>
      <w:r w:rsidRPr="00CE2315">
        <w:rPr>
          <w:rFonts w:ascii="Times New Roman" w:hAnsi="Times New Roman" w:cs="Times New Roman"/>
          <w:sz w:val="28"/>
          <w:szCs w:val="28"/>
        </w:rPr>
        <w:t>своем</w:t>
      </w:r>
      <w:proofErr w:type="gramEnd"/>
      <w:r w:rsidRPr="00CE2315">
        <w:rPr>
          <w:rFonts w:ascii="Times New Roman" w:hAnsi="Times New Roman" w:cs="Times New Roman"/>
          <w:sz w:val="28"/>
          <w:szCs w:val="28"/>
        </w:rPr>
        <w:t xml:space="preserve"> балансе локомотивы, вагоны, железнодорожные подъездные пути и (или) осуществляющие перевозки по этим путям.</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2. Юридические лица предоставляют указанную форму в территориальный орган Росстата по месту своего нахождения.</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При налич</w:t>
      </w:r>
      <w:proofErr w:type="gramStart"/>
      <w:r w:rsidRPr="00CE2315">
        <w:rPr>
          <w:rFonts w:ascii="Times New Roman" w:hAnsi="Times New Roman" w:cs="Times New Roman"/>
          <w:sz w:val="28"/>
          <w:szCs w:val="28"/>
        </w:rPr>
        <w:t>ии у ю</w:t>
      </w:r>
      <w:proofErr w:type="gramEnd"/>
      <w:r w:rsidRPr="00CE2315">
        <w:rPr>
          <w:rFonts w:ascii="Times New Roman" w:hAnsi="Times New Roman" w:cs="Times New Roman"/>
          <w:sz w:val="28"/>
          <w:szCs w:val="28"/>
        </w:rPr>
        <w:t>ридического лица обособленных подразделений &lt;1&gt; настоящая форма заполняется как по каждому обособленному подразделению, так и по юридическому лицу без этих обособленных подразделений.</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CE2315" w:rsidRPr="00CE2315" w:rsidRDefault="00CE2315" w:rsidP="00CE2315">
      <w:pPr>
        <w:jc w:val="both"/>
        <w:rPr>
          <w:rFonts w:ascii="Times New Roman" w:hAnsi="Times New Roman" w:cs="Times New Roman"/>
          <w:sz w:val="28"/>
          <w:szCs w:val="28"/>
        </w:rPr>
      </w:pP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 xml:space="preserve">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w:t>
      </w:r>
      <w:r w:rsidRPr="00CE2315">
        <w:rPr>
          <w:rFonts w:ascii="Times New Roman" w:hAnsi="Times New Roman" w:cs="Times New Roman"/>
          <w:sz w:val="28"/>
          <w:szCs w:val="28"/>
        </w:rPr>
        <w:lastRenderedPageBreak/>
        <w:t>установленные сроки.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 деятельности.</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Организации-банкроты, на которых введено конкурсное управление, не освобождаются от предоставления сведений по указанной форме.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(п. 3 ст. 149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форме.</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3. Дочерние и зависимые хозяйственные общества предоставляют форму на общих основаниях в соответствии с пунктом 2 настоящих Указаний. Основное хозяйственное общество или товарищество, имеющее дочерние или зависимые общества, не включает в форму сведения по дочерним и зависимым обществам.</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4. Организации, осуществляющие доверительное управление предприятием как целым имущественным комплексом, составляют и предоставляют отчетность о деятельности предприятия, находящегося у них в доверительном управлении.</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Организации, осуществляющие доверительное управление отдельными объектами имущества, предоставляют учредителям управления необходимые сведения об их имуществе. Учредители управления составляют свою отчетность с учетом сведений, полученных от доверительного управляющего.</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Одновременно организации, осуществляющие доверительное управление, составляют и предоставляют отчетность о деятельности имущественного комплекса, находящегося в их собственности.</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 xml:space="preserve">5.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w:t>
      </w:r>
      <w:r w:rsidRPr="00CE2315">
        <w:rPr>
          <w:rFonts w:ascii="Times New Roman" w:hAnsi="Times New Roman" w:cs="Times New Roman"/>
          <w:sz w:val="28"/>
          <w:szCs w:val="28"/>
        </w:rPr>
        <w:lastRenderedPageBreak/>
        <w:t>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w:t>
      </w:r>
      <w:proofErr w:type="gramStart"/>
      <w:r w:rsidRPr="00CE2315">
        <w:rPr>
          <w:rFonts w:ascii="Times New Roman" w:hAnsi="Times New Roman" w:cs="Times New Roman"/>
          <w:sz w:val="28"/>
          <w:szCs w:val="28"/>
        </w:rPr>
        <w:t>юридическим</w:t>
      </w:r>
      <w:proofErr w:type="gramEnd"/>
      <w:r w:rsidRPr="00CE2315">
        <w:rPr>
          <w:rFonts w:ascii="Times New Roman" w:hAnsi="Times New Roman" w:cs="Times New Roman"/>
          <w:sz w:val="28"/>
          <w:szCs w:val="28"/>
        </w:rPr>
        <w:t>, то указывается также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w:t>
      </w:r>
    </w:p>
    <w:p w:rsidR="00CE2315" w:rsidRPr="00CE2315" w:rsidRDefault="00CE2315" w:rsidP="00CE2315">
      <w:pPr>
        <w:jc w:val="both"/>
        <w:rPr>
          <w:rFonts w:ascii="Times New Roman" w:hAnsi="Times New Roman" w:cs="Times New Roman"/>
          <w:sz w:val="28"/>
          <w:szCs w:val="28"/>
        </w:rPr>
      </w:pPr>
      <w:proofErr w:type="spellStart"/>
      <w:r w:rsidRPr="00CE2315">
        <w:rPr>
          <w:rFonts w:ascii="Times New Roman" w:hAnsi="Times New Roman" w:cs="Times New Roman"/>
          <w:sz w:val="28"/>
          <w:szCs w:val="28"/>
        </w:rPr>
        <w:t>КонсультантПлюс</w:t>
      </w:r>
      <w:proofErr w:type="spellEnd"/>
      <w:r w:rsidRPr="00CE2315">
        <w:rPr>
          <w:rFonts w:ascii="Times New Roman" w:hAnsi="Times New Roman" w:cs="Times New Roman"/>
          <w:sz w:val="28"/>
          <w:szCs w:val="28"/>
        </w:rPr>
        <w:t>: примечание.</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С августа 2018 года уведомления о кодах по общероссийским классификаторам технико-экономической и социальной информации (</w:t>
      </w:r>
      <w:proofErr w:type="gramStart"/>
      <w:r w:rsidRPr="00CE2315">
        <w:rPr>
          <w:rFonts w:ascii="Times New Roman" w:hAnsi="Times New Roman" w:cs="Times New Roman"/>
          <w:sz w:val="28"/>
          <w:szCs w:val="28"/>
        </w:rPr>
        <w:t>ОК</w:t>
      </w:r>
      <w:proofErr w:type="gramEnd"/>
      <w:r w:rsidRPr="00CE2315">
        <w:rPr>
          <w:rFonts w:ascii="Times New Roman" w:hAnsi="Times New Roman" w:cs="Times New Roman"/>
          <w:sz w:val="28"/>
          <w:szCs w:val="28"/>
        </w:rPr>
        <w:t xml:space="preserve"> ТЭИ), а также индивидуальные перечни форм федерального статистического наблюдения, данные по которым подлежат предоставлению хозяйствующими субъектами в органы статистики, размещаются по адресу: http://websbor.gks.ru/online/#!/gs/statistic-codes.</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 xml:space="preserve">Юридическое лицо проставляет в кодовой части формы титульного листа проставляется код отчитывающейся организации (индивидуального предпринимателя) по Общероссийскому классификатору предприятий и организаций (ОКПО) или идентификационный номер (для территориально обособленного подразделения юридического лица) на основании Уведомления о присвоении кода ОКПО (идентификационного номера), размещенного на </w:t>
      </w:r>
      <w:proofErr w:type="gramStart"/>
      <w:r w:rsidRPr="00CE2315">
        <w:rPr>
          <w:rFonts w:ascii="Times New Roman" w:hAnsi="Times New Roman" w:cs="Times New Roman"/>
          <w:sz w:val="28"/>
          <w:szCs w:val="28"/>
        </w:rPr>
        <w:t>Интернет-портале</w:t>
      </w:r>
      <w:proofErr w:type="gramEnd"/>
      <w:r w:rsidRPr="00CE2315">
        <w:rPr>
          <w:rFonts w:ascii="Times New Roman" w:hAnsi="Times New Roman" w:cs="Times New Roman"/>
          <w:sz w:val="28"/>
          <w:szCs w:val="28"/>
        </w:rPr>
        <w:t xml:space="preserve"> Росстата по адресу: http://statreg.gks.ru.</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По территориально обособленным подразделениям юридического лица указывается идентификационный номер, который устанавливается территориальным органом Росстата по месту расположения территориально обособленного подразделения.</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По форме за отчетный период возможно направление респондентом подписанного в установленном порядке отчета по форме, не заполненного значениями показателей ("пустого" отчета по форме). Во всех представляемых отчетах такого вида должен заполняться исключительно титульный раздел формы, а в остальных разделах не должно указываться никаких значений данных, в том числе нулевых и прочерков.</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w:t>
      </w:r>
      <w:proofErr w:type="gramStart"/>
      <w:r w:rsidRPr="00CE2315">
        <w:rPr>
          <w:rFonts w:ascii="Times New Roman" w:hAnsi="Times New Roman" w:cs="Times New Roman"/>
          <w:sz w:val="28"/>
          <w:szCs w:val="28"/>
        </w:rPr>
        <w:t>в</w:t>
      </w:r>
      <w:proofErr w:type="gramEnd"/>
      <w:r w:rsidRPr="00CE2315">
        <w:rPr>
          <w:rFonts w:ascii="Times New Roman" w:hAnsi="Times New Roman" w:cs="Times New Roman"/>
          <w:sz w:val="28"/>
          <w:szCs w:val="28"/>
        </w:rPr>
        <w:t xml:space="preserve"> ред. Приказа Росстата от 16.07.2020 N 390)</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lastRenderedPageBreak/>
        <w:t>Все используемые в настоящих Указаниях определения приводятся исключительно для целей заполнения формы.</w:t>
      </w:r>
    </w:p>
    <w:p w:rsidR="00CE2315" w:rsidRPr="00CE2315" w:rsidRDefault="00CE2315" w:rsidP="00CE2315">
      <w:pPr>
        <w:jc w:val="both"/>
        <w:rPr>
          <w:rFonts w:ascii="Times New Roman" w:hAnsi="Times New Roman" w:cs="Times New Roman"/>
          <w:sz w:val="28"/>
          <w:szCs w:val="28"/>
        </w:rPr>
      </w:pP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Раздел I. Подвижной состав, предназначенный для перевозок</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по сети железных дорог общего пользования</w:t>
      </w:r>
    </w:p>
    <w:p w:rsidR="00CE2315" w:rsidRPr="00CE2315" w:rsidRDefault="00CE2315" w:rsidP="00CE2315">
      <w:pPr>
        <w:jc w:val="both"/>
        <w:rPr>
          <w:rFonts w:ascii="Times New Roman" w:hAnsi="Times New Roman" w:cs="Times New Roman"/>
          <w:sz w:val="28"/>
          <w:szCs w:val="28"/>
        </w:rPr>
      </w:pP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6. Форма заполняется по состоянию на конец года на основании технических паспортов подвижного состава.</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Строка 102 включает в себя все виды крытых вагонов, кроме крытых для перевозок автомобилей, которые указываются по строке 113 "крытые и платформы для легковых автомобилей".</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Строка 106 включает в себя все виды цистерн, кроме цистерн для цемента, которые включаются в строку 111 "хопперы и цистерны для цемента".</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В строку 118 включаются цельнометаллические вагоны габариты RIC ("</w:t>
      </w:r>
      <w:proofErr w:type="spellStart"/>
      <w:r w:rsidRPr="00CE2315">
        <w:rPr>
          <w:rFonts w:ascii="Times New Roman" w:hAnsi="Times New Roman" w:cs="Times New Roman"/>
          <w:sz w:val="28"/>
          <w:szCs w:val="28"/>
        </w:rPr>
        <w:t>Regolamento</w:t>
      </w:r>
      <w:proofErr w:type="spellEnd"/>
      <w:r w:rsidRPr="00CE2315">
        <w:rPr>
          <w:rFonts w:ascii="Times New Roman" w:hAnsi="Times New Roman" w:cs="Times New Roman"/>
          <w:sz w:val="28"/>
          <w:szCs w:val="28"/>
        </w:rPr>
        <w:t xml:space="preserve"> </w:t>
      </w:r>
      <w:proofErr w:type="spellStart"/>
      <w:r w:rsidRPr="00CE2315">
        <w:rPr>
          <w:rFonts w:ascii="Times New Roman" w:hAnsi="Times New Roman" w:cs="Times New Roman"/>
          <w:sz w:val="28"/>
          <w:szCs w:val="28"/>
        </w:rPr>
        <w:t>internazionale</w:t>
      </w:r>
      <w:proofErr w:type="spellEnd"/>
      <w:r w:rsidRPr="00CE2315">
        <w:rPr>
          <w:rFonts w:ascii="Times New Roman" w:hAnsi="Times New Roman" w:cs="Times New Roman"/>
          <w:sz w:val="28"/>
          <w:szCs w:val="28"/>
        </w:rPr>
        <w:t xml:space="preserve"> </w:t>
      </w:r>
      <w:proofErr w:type="spellStart"/>
      <w:r w:rsidRPr="00CE2315">
        <w:rPr>
          <w:rFonts w:ascii="Times New Roman" w:hAnsi="Times New Roman" w:cs="Times New Roman"/>
          <w:sz w:val="28"/>
          <w:szCs w:val="28"/>
        </w:rPr>
        <w:t>per</w:t>
      </w:r>
      <w:proofErr w:type="spellEnd"/>
      <w:r w:rsidRPr="00CE2315">
        <w:rPr>
          <w:rFonts w:ascii="Times New Roman" w:hAnsi="Times New Roman" w:cs="Times New Roman"/>
          <w:sz w:val="28"/>
          <w:szCs w:val="28"/>
        </w:rPr>
        <w:t xml:space="preserve"> </w:t>
      </w:r>
      <w:proofErr w:type="spellStart"/>
      <w:r w:rsidRPr="00CE2315">
        <w:rPr>
          <w:rFonts w:ascii="Times New Roman" w:hAnsi="Times New Roman" w:cs="Times New Roman"/>
          <w:sz w:val="28"/>
          <w:szCs w:val="28"/>
        </w:rPr>
        <w:t>le</w:t>
      </w:r>
      <w:proofErr w:type="spellEnd"/>
      <w:r w:rsidRPr="00CE2315">
        <w:rPr>
          <w:rFonts w:ascii="Times New Roman" w:hAnsi="Times New Roman" w:cs="Times New Roman"/>
          <w:sz w:val="28"/>
          <w:szCs w:val="28"/>
        </w:rPr>
        <w:t xml:space="preserve"> </w:t>
      </w:r>
      <w:proofErr w:type="spellStart"/>
      <w:r w:rsidRPr="00CE2315">
        <w:rPr>
          <w:rFonts w:ascii="Times New Roman" w:hAnsi="Times New Roman" w:cs="Times New Roman"/>
          <w:sz w:val="28"/>
          <w:szCs w:val="28"/>
        </w:rPr>
        <w:t>Carroze</w:t>
      </w:r>
      <w:proofErr w:type="spellEnd"/>
      <w:r w:rsidRPr="00CE2315">
        <w:rPr>
          <w:rFonts w:ascii="Times New Roman" w:hAnsi="Times New Roman" w:cs="Times New Roman"/>
          <w:sz w:val="28"/>
          <w:szCs w:val="28"/>
        </w:rPr>
        <w:t xml:space="preserve">" - международный стандарт пассажирских вагонов), вагоны "СВ" с двухместными купе вагоны </w:t>
      </w:r>
      <w:proofErr w:type="gramStart"/>
      <w:r w:rsidRPr="00CE2315">
        <w:rPr>
          <w:rFonts w:ascii="Times New Roman" w:hAnsi="Times New Roman" w:cs="Times New Roman"/>
          <w:sz w:val="28"/>
          <w:szCs w:val="28"/>
        </w:rPr>
        <w:t>бизнес-класса</w:t>
      </w:r>
      <w:proofErr w:type="gramEnd"/>
      <w:r w:rsidRPr="00CE2315">
        <w:rPr>
          <w:rFonts w:ascii="Times New Roman" w:hAnsi="Times New Roman" w:cs="Times New Roman"/>
          <w:sz w:val="28"/>
          <w:szCs w:val="28"/>
        </w:rPr>
        <w:t xml:space="preserve"> ("ЛЮКС").</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Из строк 101 и 117 выделяются вагоны, сданные в аренду (субаренду): грузовые (строка 126), пассажирские (строка 127).</w:t>
      </w:r>
    </w:p>
    <w:p w:rsidR="00CE2315" w:rsidRPr="00CE2315" w:rsidRDefault="00CE2315" w:rsidP="00CE2315">
      <w:pPr>
        <w:jc w:val="both"/>
        <w:rPr>
          <w:rFonts w:ascii="Times New Roman" w:hAnsi="Times New Roman" w:cs="Times New Roman"/>
          <w:sz w:val="28"/>
          <w:szCs w:val="28"/>
        </w:rPr>
      </w:pP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 xml:space="preserve">Раздел II. Сведения о </w:t>
      </w:r>
      <w:proofErr w:type="gramStart"/>
      <w:r w:rsidRPr="00CE2315">
        <w:rPr>
          <w:rFonts w:ascii="Times New Roman" w:hAnsi="Times New Roman" w:cs="Times New Roman"/>
          <w:sz w:val="28"/>
          <w:szCs w:val="28"/>
        </w:rPr>
        <w:t>промышленном</w:t>
      </w:r>
      <w:proofErr w:type="gramEnd"/>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 xml:space="preserve">железнодорожном </w:t>
      </w:r>
      <w:proofErr w:type="gramStart"/>
      <w:r w:rsidRPr="00CE2315">
        <w:rPr>
          <w:rFonts w:ascii="Times New Roman" w:hAnsi="Times New Roman" w:cs="Times New Roman"/>
          <w:sz w:val="28"/>
          <w:szCs w:val="28"/>
        </w:rPr>
        <w:t>транспорте</w:t>
      </w:r>
      <w:proofErr w:type="gramEnd"/>
    </w:p>
    <w:p w:rsidR="00CE2315" w:rsidRPr="00CE2315" w:rsidRDefault="00CE2315" w:rsidP="00CE2315">
      <w:pPr>
        <w:jc w:val="both"/>
        <w:rPr>
          <w:rFonts w:ascii="Times New Roman" w:hAnsi="Times New Roman" w:cs="Times New Roman"/>
          <w:sz w:val="28"/>
          <w:szCs w:val="28"/>
        </w:rPr>
      </w:pP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 xml:space="preserve">2.1. Перевозка и пробег грузов по </w:t>
      </w:r>
      <w:proofErr w:type="gramStart"/>
      <w:r w:rsidRPr="00CE2315">
        <w:rPr>
          <w:rFonts w:ascii="Times New Roman" w:hAnsi="Times New Roman" w:cs="Times New Roman"/>
          <w:sz w:val="28"/>
          <w:szCs w:val="28"/>
        </w:rPr>
        <w:t>собственным</w:t>
      </w:r>
      <w:proofErr w:type="gramEnd"/>
      <w:r w:rsidRPr="00CE2315">
        <w:rPr>
          <w:rFonts w:ascii="Times New Roman" w:hAnsi="Times New Roman" w:cs="Times New Roman"/>
          <w:sz w:val="28"/>
          <w:szCs w:val="28"/>
        </w:rPr>
        <w:t>,</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арендованным хозяйством путям за год</w:t>
      </w:r>
    </w:p>
    <w:p w:rsidR="00CE2315" w:rsidRPr="00CE2315" w:rsidRDefault="00CE2315" w:rsidP="00CE2315">
      <w:pPr>
        <w:jc w:val="both"/>
        <w:rPr>
          <w:rFonts w:ascii="Times New Roman" w:hAnsi="Times New Roman" w:cs="Times New Roman"/>
          <w:sz w:val="28"/>
          <w:szCs w:val="28"/>
        </w:rPr>
      </w:pP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 xml:space="preserve">7. Сведения по подразделу заполняются предприятием, эксплуатирующим данный путь, независимо от того, является ли оно собственником или арендатором пути, по данным накладных на перевозку грузов, нарядов и грузовых квитанций, учетных карточек выполнения плана перевозок </w:t>
      </w:r>
      <w:r w:rsidRPr="00CE2315">
        <w:rPr>
          <w:rFonts w:ascii="Times New Roman" w:hAnsi="Times New Roman" w:cs="Times New Roman"/>
          <w:sz w:val="28"/>
          <w:szCs w:val="28"/>
        </w:rPr>
        <w:lastRenderedPageBreak/>
        <w:t>(погружено) (форма N ГУ-1), утвержденных приказом МПС России от 16.06.2003 N 20.</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8. При заполнении подраздела необходимо иметь в виду следующее:</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 в случае использования подъездного пути не только хозяйством-собственником или арендатором, но и другими хозяйствами, не составляющими отчетов (например, контрагентами, имеющими склады, примыкающие к путям отчитывающегося хозяйства), грузооборот и перевозки грузов этих других хозяйств должны быть включены в раздел 1 хозяйством, составляющим отчет;</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 хозяйство-собственник или арендатор подъездного пути, примыкающего к железнодорожному подъездному пути соседнего хозяйства, при определении выполненных тонно-километров учитывает расстояние перевозки не до пункта примыкания к основному подъездному пути соседнего предприятия, а до пункта примыкания к железнодорожным путям общего пользования, т.е. все расстояние по своим путям и путям соседнего хозяйства.</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9. В подразделе указываются все перевозки по подъездному пути необщего пользования независимо от ведомственной принадлежности подвижного состава, которым они были выполнены. Если перевозки грузов осуществлялись по подъездному пути узкой колеи, а затем груз был перегружен на подъездной путь широкой колеи или наоборот, то количество перевезенных грузов (в вагонах и тоннах) учитывается один раз (по первоначально оформленному документу).</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Перевозочная работа, выполняемая авто- и мотодрезинами, не учитывается. Также не учитываются внутрицеховые перевозки (перемещения внутри цехов сырья, полуфабрикатов, деталей машин в процессе обработки).</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10. По строкам 210 и 211 отчитывающиеся хозяйства указывают:</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 перевозки всех грузов, отправляемых и получаемых предприятием с сети общего пользования, если эти грузы имели пробег по путям промышленного железнодорожного транспорта;</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 xml:space="preserve">- перевозки грузов собственным или арендованным подвижным составом только по подъездным путям без выхода на сеть общего пользования (внутренняя перевозка). </w:t>
      </w:r>
      <w:proofErr w:type="gramStart"/>
      <w:r w:rsidRPr="00CE2315">
        <w:rPr>
          <w:rFonts w:ascii="Times New Roman" w:hAnsi="Times New Roman" w:cs="Times New Roman"/>
          <w:sz w:val="28"/>
          <w:szCs w:val="28"/>
        </w:rPr>
        <w:t xml:space="preserve">В объем внутренних перевозок включаются перевозки деталей машин, сырья, топлива, полуфабрикатов, готовой продукции между складами, сырья (шихты) в мульдах и стали (полуфабриката) в изложницах, чугуна в ковшах, отходов производства </w:t>
      </w:r>
      <w:r w:rsidRPr="00CE2315">
        <w:rPr>
          <w:rFonts w:ascii="Times New Roman" w:hAnsi="Times New Roman" w:cs="Times New Roman"/>
          <w:sz w:val="28"/>
          <w:szCs w:val="28"/>
        </w:rPr>
        <w:lastRenderedPageBreak/>
        <w:t>(например, шлак, вскрышные породы, отработанная кислота), а также расплавленного металла из доменного цеха в сталеплавильные цехи (например, мартен, конвертор, электропечь).</w:t>
      </w:r>
      <w:proofErr w:type="gramEnd"/>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Данные о грузах, погруженных и отправленных с путей железнодорожных станций общего пользования (без перевозки по путям хозяйства) в разделе 1 не отражаются.</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11. Данные о грузообороте (по строке 213) определяются путем умножения фактически перевезенного груза в тоннах по каждой партии на фактическое расстояние перевозки по подъездному пути, включая и длину соседнего подъездного пути, если по нему продолжается перевозка грузов с последующим суммированием указанных произведений.</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Например, хозяйство</w:t>
      </w:r>
      <w:proofErr w:type="gramStart"/>
      <w:r w:rsidRPr="00CE2315">
        <w:rPr>
          <w:rFonts w:ascii="Times New Roman" w:hAnsi="Times New Roman" w:cs="Times New Roman"/>
          <w:sz w:val="28"/>
          <w:szCs w:val="28"/>
        </w:rPr>
        <w:t xml:space="preserve"> Б</w:t>
      </w:r>
      <w:proofErr w:type="gramEnd"/>
      <w:r w:rsidRPr="00CE2315">
        <w:rPr>
          <w:rFonts w:ascii="Times New Roman" w:hAnsi="Times New Roman" w:cs="Times New Roman"/>
          <w:sz w:val="28"/>
          <w:szCs w:val="28"/>
        </w:rPr>
        <w:t xml:space="preserve"> эксплуатирует железнодорожный подъездной путь длиной 10 километров, который, примыкает не к путям общего пользования, а к подъездному пути хозяйства А (длина 5 км), примыкающего к путям общего пользования. При этом хозяйство</w:t>
      </w:r>
      <w:proofErr w:type="gramStart"/>
      <w:r w:rsidRPr="00CE2315">
        <w:rPr>
          <w:rFonts w:ascii="Times New Roman" w:hAnsi="Times New Roman" w:cs="Times New Roman"/>
          <w:sz w:val="28"/>
          <w:szCs w:val="28"/>
        </w:rPr>
        <w:t xml:space="preserve"> Б</w:t>
      </w:r>
      <w:proofErr w:type="gramEnd"/>
      <w:r w:rsidRPr="00CE2315">
        <w:rPr>
          <w:rFonts w:ascii="Times New Roman" w:hAnsi="Times New Roman" w:cs="Times New Roman"/>
          <w:sz w:val="28"/>
          <w:szCs w:val="28"/>
        </w:rPr>
        <w:t xml:space="preserve"> в месте примыкания своего подъездного пути к хозяйству А и в конце своего подъездного пути имеет склады. Хозяйство</w:t>
      </w:r>
      <w:proofErr w:type="gramStart"/>
      <w:r w:rsidRPr="00CE2315">
        <w:rPr>
          <w:rFonts w:ascii="Times New Roman" w:hAnsi="Times New Roman" w:cs="Times New Roman"/>
          <w:sz w:val="28"/>
          <w:szCs w:val="28"/>
        </w:rPr>
        <w:t xml:space="preserve"> Б</w:t>
      </w:r>
      <w:proofErr w:type="gramEnd"/>
      <w:r w:rsidRPr="00CE2315">
        <w:rPr>
          <w:rFonts w:ascii="Times New Roman" w:hAnsi="Times New Roman" w:cs="Times New Roman"/>
          <w:sz w:val="28"/>
          <w:szCs w:val="28"/>
        </w:rPr>
        <w:t xml:space="preserve"> отправило на сеть общего пользования с конечного склада 60 т груза и с начального склада 80 т груза. В этом случае грузооборот хозяйства составит:</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 xml:space="preserve">60 т x (10 км + 5 км) + 80 т x 5 км = 1300 </w:t>
      </w:r>
      <w:proofErr w:type="spellStart"/>
      <w:r w:rsidRPr="00CE2315">
        <w:rPr>
          <w:rFonts w:ascii="Times New Roman" w:hAnsi="Times New Roman" w:cs="Times New Roman"/>
          <w:sz w:val="28"/>
          <w:szCs w:val="28"/>
        </w:rPr>
        <w:t>ткм</w:t>
      </w:r>
      <w:proofErr w:type="spellEnd"/>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В пределах своего подъездного пути, т.е. с конечного склада на склад, примыкающий к хозяйству</w:t>
      </w:r>
      <w:proofErr w:type="gramStart"/>
      <w:r w:rsidRPr="00CE2315">
        <w:rPr>
          <w:rFonts w:ascii="Times New Roman" w:hAnsi="Times New Roman" w:cs="Times New Roman"/>
          <w:sz w:val="28"/>
          <w:szCs w:val="28"/>
        </w:rPr>
        <w:t xml:space="preserve"> А</w:t>
      </w:r>
      <w:proofErr w:type="gramEnd"/>
      <w:r w:rsidRPr="00CE2315">
        <w:rPr>
          <w:rFonts w:ascii="Times New Roman" w:hAnsi="Times New Roman" w:cs="Times New Roman"/>
          <w:sz w:val="28"/>
          <w:szCs w:val="28"/>
        </w:rPr>
        <w:t xml:space="preserve">, было перевезено 100 т. Тогда грузооборот по внутренним перевозкам составит 1000 </w:t>
      </w:r>
      <w:proofErr w:type="spellStart"/>
      <w:r w:rsidRPr="00CE2315">
        <w:rPr>
          <w:rFonts w:ascii="Times New Roman" w:hAnsi="Times New Roman" w:cs="Times New Roman"/>
          <w:sz w:val="28"/>
          <w:szCs w:val="28"/>
        </w:rPr>
        <w:t>ткм</w:t>
      </w:r>
      <w:proofErr w:type="spellEnd"/>
      <w:r w:rsidRPr="00CE2315">
        <w:rPr>
          <w:rFonts w:ascii="Times New Roman" w:hAnsi="Times New Roman" w:cs="Times New Roman"/>
          <w:sz w:val="28"/>
          <w:szCs w:val="28"/>
        </w:rPr>
        <w:t>. С сети общего пользования для хозяйства</w:t>
      </w:r>
      <w:proofErr w:type="gramStart"/>
      <w:r w:rsidRPr="00CE2315">
        <w:rPr>
          <w:rFonts w:ascii="Times New Roman" w:hAnsi="Times New Roman" w:cs="Times New Roman"/>
          <w:sz w:val="28"/>
          <w:szCs w:val="28"/>
        </w:rPr>
        <w:t xml:space="preserve"> Б</w:t>
      </w:r>
      <w:proofErr w:type="gramEnd"/>
      <w:r w:rsidRPr="00CE2315">
        <w:rPr>
          <w:rFonts w:ascii="Times New Roman" w:hAnsi="Times New Roman" w:cs="Times New Roman"/>
          <w:sz w:val="28"/>
          <w:szCs w:val="28"/>
        </w:rPr>
        <w:t xml:space="preserve"> поступило 200 т груза, из которых 100 т перевезено до первого склада и 100 т - до второго склада. Грузооборот составит:</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 xml:space="preserve">100 т x 15 км + 100 т x 5 км = 2000 </w:t>
      </w:r>
      <w:proofErr w:type="spellStart"/>
      <w:r w:rsidRPr="00CE2315">
        <w:rPr>
          <w:rFonts w:ascii="Times New Roman" w:hAnsi="Times New Roman" w:cs="Times New Roman"/>
          <w:sz w:val="28"/>
          <w:szCs w:val="28"/>
        </w:rPr>
        <w:t>ткм</w:t>
      </w:r>
      <w:proofErr w:type="spellEnd"/>
      <w:r w:rsidRPr="00CE2315">
        <w:rPr>
          <w:rFonts w:ascii="Times New Roman" w:hAnsi="Times New Roman" w:cs="Times New Roman"/>
          <w:sz w:val="28"/>
          <w:szCs w:val="28"/>
        </w:rPr>
        <w:t>.</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Суммарный грузооборот (строка 213) составит:</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 xml:space="preserve">1300 + 1000 + 2000 = 4300 </w:t>
      </w:r>
      <w:proofErr w:type="spellStart"/>
      <w:r w:rsidRPr="00CE2315">
        <w:rPr>
          <w:rFonts w:ascii="Times New Roman" w:hAnsi="Times New Roman" w:cs="Times New Roman"/>
          <w:sz w:val="28"/>
          <w:szCs w:val="28"/>
        </w:rPr>
        <w:t>ткм</w:t>
      </w:r>
      <w:proofErr w:type="spellEnd"/>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 xml:space="preserve">12. По строкам 212 и 214 отчитывающимся хозяйством указываются соответственно объем работ (услуг) по перевозке грузов и грузооборот, </w:t>
      </w:r>
      <w:proofErr w:type="gramStart"/>
      <w:r w:rsidRPr="00CE2315">
        <w:rPr>
          <w:rFonts w:ascii="Times New Roman" w:hAnsi="Times New Roman" w:cs="Times New Roman"/>
          <w:sz w:val="28"/>
          <w:szCs w:val="28"/>
        </w:rPr>
        <w:t>выполненные</w:t>
      </w:r>
      <w:proofErr w:type="gramEnd"/>
      <w:r w:rsidRPr="00CE2315">
        <w:rPr>
          <w:rFonts w:ascii="Times New Roman" w:hAnsi="Times New Roman" w:cs="Times New Roman"/>
          <w:sz w:val="28"/>
          <w:szCs w:val="28"/>
        </w:rPr>
        <w:t xml:space="preserve"> на коммерческой основе (за плату), для любых физических и юридических лиц.</w:t>
      </w:r>
    </w:p>
    <w:p w:rsidR="00CE2315" w:rsidRPr="00CE2315" w:rsidRDefault="00CE2315" w:rsidP="00CE2315">
      <w:pPr>
        <w:jc w:val="both"/>
        <w:rPr>
          <w:rFonts w:ascii="Times New Roman" w:hAnsi="Times New Roman" w:cs="Times New Roman"/>
          <w:sz w:val="28"/>
          <w:szCs w:val="28"/>
        </w:rPr>
      </w:pP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lastRenderedPageBreak/>
        <w:t xml:space="preserve">2.2 Погрузка и выгрузка грузов из вагонов </w:t>
      </w:r>
      <w:proofErr w:type="gramStart"/>
      <w:r w:rsidRPr="00CE2315">
        <w:rPr>
          <w:rFonts w:ascii="Times New Roman" w:hAnsi="Times New Roman" w:cs="Times New Roman"/>
          <w:sz w:val="28"/>
          <w:szCs w:val="28"/>
        </w:rPr>
        <w:t>собственными</w:t>
      </w:r>
      <w:proofErr w:type="gramEnd"/>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силами и собственными или арендуемыми средствами</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хозяйства, механизация этих работ за год</w:t>
      </w:r>
    </w:p>
    <w:p w:rsidR="00CE2315" w:rsidRPr="00CE2315" w:rsidRDefault="00CE2315" w:rsidP="00CE2315">
      <w:pPr>
        <w:jc w:val="both"/>
        <w:rPr>
          <w:rFonts w:ascii="Times New Roman" w:hAnsi="Times New Roman" w:cs="Times New Roman"/>
          <w:sz w:val="28"/>
          <w:szCs w:val="28"/>
        </w:rPr>
      </w:pP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13. Данные по подразделу заполняются хозяйством по всем работам, выполняемым собственными силами и собственными или арендуемыми средствами, независимо от места осуществления погрузки и выгрузки вагонов, а также по работам, выполненным предприятиями, эксплуатирующими подъездной путь и не составляющими отчета.</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14. Раздел составляется на основании актов и нарядов на выполнение работ.</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В подразделе отражаются погрузка и выгрузка вагонов, выполненные грузчиками и механизмами как железнодорожного (транспортного) цеха, так и других производственных цехов отчитывающегося хозяйства.</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Погрузка и выгрузка вагонов, выполненные для хозяйства сторонними хозяйствами (т.е. их силами и их или арендуемыми ими средствами), в раздел 2 не включаются.</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15. Под комплексной механизацией погрузочно-разгрузочных работ следует понимать такую механизированную переработку грузов, при которой основные операции (подъем и перемещение грузов) от начала до конца операции выполняются машинами и механизмами, а труд людей сведен к управлению этими машинами или к выполнению вспомогательных операций без применения ручного труда на основных операциях.</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К вспомогательным операциям при комплексной механизированной переработке грузов относятся:</w:t>
      </w:r>
    </w:p>
    <w:p w:rsidR="00CE2315" w:rsidRPr="00CE2315" w:rsidRDefault="00CE2315" w:rsidP="00CE2315">
      <w:pPr>
        <w:jc w:val="both"/>
        <w:rPr>
          <w:rFonts w:ascii="Times New Roman" w:hAnsi="Times New Roman" w:cs="Times New Roman"/>
          <w:sz w:val="28"/>
          <w:szCs w:val="28"/>
        </w:rPr>
      </w:pPr>
      <w:proofErr w:type="spellStart"/>
      <w:r w:rsidRPr="00CE2315">
        <w:rPr>
          <w:rFonts w:ascii="Times New Roman" w:hAnsi="Times New Roman" w:cs="Times New Roman"/>
          <w:sz w:val="28"/>
          <w:szCs w:val="28"/>
        </w:rPr>
        <w:t>застропка</w:t>
      </w:r>
      <w:proofErr w:type="spellEnd"/>
      <w:r w:rsidRPr="00CE2315">
        <w:rPr>
          <w:rFonts w:ascii="Times New Roman" w:hAnsi="Times New Roman" w:cs="Times New Roman"/>
          <w:sz w:val="28"/>
          <w:szCs w:val="28"/>
        </w:rPr>
        <w:t xml:space="preserve"> и </w:t>
      </w:r>
      <w:proofErr w:type="spellStart"/>
      <w:r w:rsidRPr="00CE2315">
        <w:rPr>
          <w:rFonts w:ascii="Times New Roman" w:hAnsi="Times New Roman" w:cs="Times New Roman"/>
          <w:sz w:val="28"/>
          <w:szCs w:val="28"/>
        </w:rPr>
        <w:t>отстропка</w:t>
      </w:r>
      <w:proofErr w:type="spellEnd"/>
      <w:r w:rsidRPr="00CE2315">
        <w:rPr>
          <w:rFonts w:ascii="Times New Roman" w:hAnsi="Times New Roman" w:cs="Times New Roman"/>
          <w:sz w:val="28"/>
          <w:szCs w:val="28"/>
        </w:rPr>
        <w:t xml:space="preserve"> грузов;</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открывание и закрывание люков, дверей вагонов, бортов платформ и автомобилей;</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зачистка вагонов после выгрузки от остатков груза;</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установка и снятие стоек прокладок, щитов и решеток, крепление грузов на подвижном составе;</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подача сигналов управления;</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lastRenderedPageBreak/>
        <w:t>подноска и уборка инвентаря, приспособлений.</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 xml:space="preserve">16. </w:t>
      </w:r>
      <w:proofErr w:type="gramStart"/>
      <w:r w:rsidRPr="00CE2315">
        <w:rPr>
          <w:rFonts w:ascii="Times New Roman" w:hAnsi="Times New Roman" w:cs="Times New Roman"/>
          <w:sz w:val="28"/>
          <w:szCs w:val="28"/>
        </w:rPr>
        <w:t>В объем работ, выполненных комплексно-механизированным способом, включаются погрузочно-разгрузочные работы, произведенные с помощью различных типов подъемно-транспортного оборудования - транспортеров, кранов, автопогрузчиков, экскаваторов, а также выгрузка, осуществляемая из саморазгружающегося подвижного состава (саморазгружающиеся полувагоны, думпкары; при помощи специальных приспособлений - на повышенных путях).</w:t>
      </w:r>
      <w:proofErr w:type="gramEnd"/>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 xml:space="preserve">17. Погрузочно-разгрузочные работы, выполняемые при помощи механизмов и приспособлений, приводимых в действие вручную (например, тачки, тележки, блоки, лебедки), а также выгрузка грузов из полувагонов и специального подвижного состава на </w:t>
      </w:r>
      <w:proofErr w:type="spellStart"/>
      <w:r w:rsidRPr="00CE2315">
        <w:rPr>
          <w:rFonts w:ascii="Times New Roman" w:hAnsi="Times New Roman" w:cs="Times New Roman"/>
          <w:sz w:val="28"/>
          <w:szCs w:val="28"/>
        </w:rPr>
        <w:t>неповышенных</w:t>
      </w:r>
      <w:proofErr w:type="spellEnd"/>
      <w:r w:rsidRPr="00CE2315">
        <w:rPr>
          <w:rFonts w:ascii="Times New Roman" w:hAnsi="Times New Roman" w:cs="Times New Roman"/>
          <w:sz w:val="28"/>
          <w:szCs w:val="28"/>
        </w:rPr>
        <w:t xml:space="preserve"> путях без участия погрузочно-разгрузочных машин к комплексно-механизированным работам не относятся.</w:t>
      </w: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 xml:space="preserve">Погрузочно-разгрузочные работы, выполненные в связи с внутрицеховыми перевозками, а также в связи </w:t>
      </w:r>
      <w:proofErr w:type="gramStart"/>
      <w:r w:rsidRPr="00CE2315">
        <w:rPr>
          <w:rFonts w:ascii="Times New Roman" w:hAnsi="Times New Roman" w:cs="Times New Roman"/>
          <w:sz w:val="28"/>
          <w:szCs w:val="28"/>
        </w:rPr>
        <w:t>с</w:t>
      </w:r>
      <w:proofErr w:type="gramEnd"/>
      <w:r w:rsidRPr="00CE2315">
        <w:rPr>
          <w:rFonts w:ascii="Times New Roman" w:hAnsi="Times New Roman" w:cs="Times New Roman"/>
          <w:sz w:val="28"/>
          <w:szCs w:val="28"/>
        </w:rPr>
        <w:t xml:space="preserve"> штабелировкой и перевалкой грузов на складах, базах или территории хозяйства, в отчет не включаются.</w:t>
      </w:r>
    </w:p>
    <w:p w:rsidR="00CE2315" w:rsidRPr="00CE2315" w:rsidRDefault="00CE2315" w:rsidP="00CE2315">
      <w:pPr>
        <w:jc w:val="both"/>
        <w:rPr>
          <w:rFonts w:ascii="Times New Roman" w:hAnsi="Times New Roman" w:cs="Times New Roman"/>
          <w:sz w:val="28"/>
          <w:szCs w:val="28"/>
        </w:rPr>
      </w:pPr>
    </w:p>
    <w:p w:rsidR="00CE2315" w:rsidRPr="00CE2315" w:rsidRDefault="00CE2315" w:rsidP="00CE2315">
      <w:pPr>
        <w:jc w:val="both"/>
        <w:rPr>
          <w:rFonts w:ascii="Times New Roman" w:hAnsi="Times New Roman" w:cs="Times New Roman"/>
          <w:sz w:val="28"/>
          <w:szCs w:val="28"/>
        </w:rPr>
      </w:pPr>
      <w:r w:rsidRPr="00CE2315">
        <w:rPr>
          <w:rFonts w:ascii="Times New Roman" w:hAnsi="Times New Roman" w:cs="Times New Roman"/>
          <w:sz w:val="28"/>
          <w:szCs w:val="28"/>
        </w:rPr>
        <w:t>2.3 Число собственных локомотивов, вагонов на конец года</w:t>
      </w:r>
    </w:p>
    <w:p w:rsidR="00CE2315" w:rsidRPr="00CE2315" w:rsidRDefault="00CE2315" w:rsidP="00CE2315">
      <w:pPr>
        <w:rPr>
          <w:sz w:val="28"/>
          <w:szCs w:val="28"/>
        </w:rPr>
      </w:pPr>
    </w:p>
    <w:p w:rsidR="00CE2315" w:rsidRPr="00CE2315" w:rsidRDefault="00CE2315" w:rsidP="00CE2315">
      <w:pPr>
        <w:rPr>
          <w:sz w:val="28"/>
          <w:szCs w:val="28"/>
        </w:rPr>
      </w:pPr>
      <w:r w:rsidRPr="00CE2315">
        <w:rPr>
          <w:sz w:val="28"/>
          <w:szCs w:val="28"/>
        </w:rPr>
        <w:t>18. В подразделе указываются только собственные основные средства, предназначенные для перевозок по железнодорожным подъездным путям. Локомотивы, используемые не по прямому назначению, и вагоны, занятые под жилье и другие технические нужды, числящиеся на балансе данного предприятия как основные средства, также включаются в сведения по форме. Арендованный подвижной состав в раздел 3 не включается. Подвижной состав, который по своей конструкции и преимущественному назначению приспособлен для специальных операций и не имеет своей основной задачей поддержание транспортных связей хозяйства с рельсовой сетью общего пользования и обслуживание самих подъездных путей, в отчете по форме не показывается. Учету не подлежат: подземный подвижной состав, вагонетки, шахтные рудничные электровозы.</w:t>
      </w:r>
    </w:p>
    <w:p w:rsidR="00CE2315" w:rsidRPr="00CE2315" w:rsidRDefault="00CE2315" w:rsidP="00CE2315">
      <w:pPr>
        <w:rPr>
          <w:sz w:val="28"/>
          <w:szCs w:val="28"/>
        </w:rPr>
      </w:pPr>
      <w:r w:rsidRPr="00CE2315">
        <w:rPr>
          <w:sz w:val="28"/>
          <w:szCs w:val="28"/>
        </w:rPr>
        <w:t>19. Раздел заполняется на основании данных технических паспортов подвижного состава.</w:t>
      </w:r>
    </w:p>
    <w:p w:rsidR="00CE2315" w:rsidRPr="00CE2315" w:rsidRDefault="00CE2315" w:rsidP="00CE2315">
      <w:pPr>
        <w:rPr>
          <w:sz w:val="28"/>
          <w:szCs w:val="28"/>
        </w:rPr>
      </w:pPr>
      <w:r w:rsidRPr="00CE2315">
        <w:rPr>
          <w:sz w:val="28"/>
          <w:szCs w:val="28"/>
        </w:rPr>
        <w:lastRenderedPageBreak/>
        <w:t>Каждая секция двух-</w:t>
      </w:r>
      <w:proofErr w:type="spellStart"/>
      <w:r w:rsidRPr="00CE2315">
        <w:rPr>
          <w:sz w:val="28"/>
          <w:szCs w:val="28"/>
        </w:rPr>
        <w:t>трехсекционного</w:t>
      </w:r>
      <w:proofErr w:type="spellEnd"/>
      <w:r w:rsidRPr="00CE2315">
        <w:rPr>
          <w:sz w:val="28"/>
          <w:szCs w:val="28"/>
        </w:rPr>
        <w:t xml:space="preserve"> тепловоза, которая может работать самостоятельно, принимается за физическую единицу.</w:t>
      </w:r>
    </w:p>
    <w:p w:rsidR="00CE2315" w:rsidRPr="00CE2315" w:rsidRDefault="00CE2315" w:rsidP="00CE2315">
      <w:pPr>
        <w:rPr>
          <w:sz w:val="28"/>
          <w:szCs w:val="28"/>
        </w:rPr>
      </w:pPr>
      <w:r w:rsidRPr="00CE2315">
        <w:rPr>
          <w:sz w:val="28"/>
          <w:szCs w:val="28"/>
        </w:rPr>
        <w:t>К вагонам магистрального типа относятся крытые вагоны, полувагоны, платформы, цементовозы, цистерны. В их число включаются и специальные цистерны, т.е. цистерны для перевозки кислот и других химических продуктов, сжиженных газов, сыпучих грузов, затвердевающих продуктов.</w:t>
      </w:r>
    </w:p>
    <w:p w:rsidR="00CE2315" w:rsidRPr="00CE2315" w:rsidRDefault="00CE2315" w:rsidP="00CE2315">
      <w:pPr>
        <w:rPr>
          <w:sz w:val="28"/>
          <w:szCs w:val="28"/>
        </w:rPr>
      </w:pPr>
      <w:proofErr w:type="gramStart"/>
      <w:r w:rsidRPr="00CE2315">
        <w:rPr>
          <w:sz w:val="28"/>
          <w:szCs w:val="28"/>
        </w:rPr>
        <w:t>К вагонам промышленного типа относятся думпкары (вагоны-самосвалы), хоппер-дозаторы, вагоны для перевозки угля, торфа, кокса, горячего чушкового чугуна и обреза, сажи, медной руды, муки, леса в хлыстах, вагоны с раскрывающейся крышей (для перевозки рулонов, штучных грузов) и другие.</w:t>
      </w:r>
      <w:proofErr w:type="gramEnd"/>
    </w:p>
    <w:p w:rsidR="00CE2315" w:rsidRPr="00CE2315" w:rsidRDefault="00CE2315" w:rsidP="00CE2315">
      <w:pPr>
        <w:rPr>
          <w:sz w:val="28"/>
          <w:szCs w:val="28"/>
        </w:rPr>
      </w:pPr>
    </w:p>
    <w:p w:rsidR="00CE2315" w:rsidRPr="00CE2315" w:rsidRDefault="00CE2315" w:rsidP="00CE2315">
      <w:pPr>
        <w:rPr>
          <w:sz w:val="28"/>
          <w:szCs w:val="28"/>
        </w:rPr>
      </w:pPr>
      <w:r w:rsidRPr="00CE2315">
        <w:rPr>
          <w:sz w:val="28"/>
          <w:szCs w:val="28"/>
        </w:rPr>
        <w:t>2.4. Длина собственных железнодорожных путей на конец года</w:t>
      </w:r>
    </w:p>
    <w:p w:rsidR="00CE2315" w:rsidRPr="00CE2315" w:rsidRDefault="00CE2315" w:rsidP="00CE2315">
      <w:pPr>
        <w:rPr>
          <w:sz w:val="28"/>
          <w:szCs w:val="28"/>
        </w:rPr>
      </w:pPr>
    </w:p>
    <w:p w:rsidR="00CE2315" w:rsidRPr="00CE2315" w:rsidRDefault="00CE2315" w:rsidP="00CE2315">
      <w:pPr>
        <w:rPr>
          <w:sz w:val="28"/>
          <w:szCs w:val="28"/>
        </w:rPr>
      </w:pPr>
      <w:r w:rsidRPr="00CE2315">
        <w:rPr>
          <w:sz w:val="28"/>
          <w:szCs w:val="28"/>
        </w:rPr>
        <w:t xml:space="preserve">20. В подразделе отражается длина путей, числящихся на балансе как собственные основные средства, в том числе и не </w:t>
      </w:r>
      <w:proofErr w:type="spellStart"/>
      <w:r w:rsidRPr="00CE2315">
        <w:rPr>
          <w:sz w:val="28"/>
          <w:szCs w:val="28"/>
        </w:rPr>
        <w:t>эксплуатирующихся</w:t>
      </w:r>
      <w:proofErr w:type="spellEnd"/>
      <w:r w:rsidRPr="00CE2315">
        <w:rPr>
          <w:sz w:val="28"/>
          <w:szCs w:val="28"/>
        </w:rPr>
        <w:t xml:space="preserve"> их владельцем.</w:t>
      </w:r>
    </w:p>
    <w:p w:rsidR="00CE2315" w:rsidRPr="00CE2315" w:rsidRDefault="00CE2315" w:rsidP="00CE2315">
      <w:pPr>
        <w:rPr>
          <w:sz w:val="28"/>
          <w:szCs w:val="28"/>
        </w:rPr>
      </w:pPr>
      <w:r w:rsidRPr="00CE2315">
        <w:rPr>
          <w:sz w:val="28"/>
          <w:szCs w:val="28"/>
        </w:rPr>
        <w:t>21. В раздел включаются также передвижные пути открытых разработок добывающей промышленности (угольные, железорудные, нерудные карьеры), находящиеся в постоянной эксплуатации, т.е. такие, которые существуют постоянно, но подвергаются передвижке (</w:t>
      </w:r>
      <w:proofErr w:type="spellStart"/>
      <w:r w:rsidRPr="00CE2315">
        <w:rPr>
          <w:sz w:val="28"/>
          <w:szCs w:val="28"/>
        </w:rPr>
        <w:t>переукладке</w:t>
      </w:r>
      <w:proofErr w:type="spellEnd"/>
      <w:r w:rsidRPr="00CE2315">
        <w:rPr>
          <w:sz w:val="28"/>
          <w:szCs w:val="28"/>
        </w:rPr>
        <w:t xml:space="preserve">) по мере отработки забоев (отвалов). </w:t>
      </w:r>
      <w:proofErr w:type="gramStart"/>
      <w:r w:rsidRPr="00CE2315">
        <w:rPr>
          <w:sz w:val="28"/>
          <w:szCs w:val="28"/>
        </w:rPr>
        <w:t>Не подлежат учету переносные полевые пути, за исключением находящихся в открытых горных разработках добывающей промышленности, временные пути, а также вновь строящиеся линии, включая эксплуатируемые, но не сданные по акту в постоянную эксплуатацию.</w:t>
      </w:r>
      <w:proofErr w:type="gramEnd"/>
    </w:p>
    <w:p w:rsidR="00CE2315" w:rsidRPr="00CE2315" w:rsidRDefault="00CE2315" w:rsidP="00CE2315">
      <w:pPr>
        <w:rPr>
          <w:sz w:val="28"/>
          <w:szCs w:val="28"/>
        </w:rPr>
      </w:pPr>
      <w:r w:rsidRPr="00CE2315">
        <w:rPr>
          <w:sz w:val="28"/>
          <w:szCs w:val="28"/>
        </w:rPr>
        <w:t>Хозяйство, арендующее железнодорожные пути, данные по этим путям в раздел не включает.</w:t>
      </w:r>
    </w:p>
    <w:p w:rsidR="00CE2315" w:rsidRPr="00CE2315" w:rsidRDefault="00CE2315" w:rsidP="00CE2315">
      <w:pPr>
        <w:rPr>
          <w:sz w:val="28"/>
          <w:szCs w:val="28"/>
        </w:rPr>
      </w:pPr>
      <w:r w:rsidRPr="00CE2315">
        <w:rPr>
          <w:sz w:val="28"/>
          <w:szCs w:val="28"/>
        </w:rPr>
        <w:t>22. Эксплуатационная длина железнодорожных путей - протяженность железнодорожных линий, измеряемая по оси главного пути между конечными пунктами, а на многопутных участках - кратчайшего главного пути между осями раздельных пунктов.</w:t>
      </w:r>
    </w:p>
    <w:p w:rsidR="00CE2315" w:rsidRPr="00CE2315" w:rsidRDefault="00CE2315" w:rsidP="00CE2315">
      <w:pPr>
        <w:rPr>
          <w:sz w:val="28"/>
          <w:szCs w:val="28"/>
        </w:rPr>
      </w:pPr>
      <w:r w:rsidRPr="00CE2315">
        <w:rPr>
          <w:sz w:val="28"/>
          <w:szCs w:val="28"/>
        </w:rPr>
        <w:lastRenderedPageBreak/>
        <w:t>По строке 240 показывается длина по оси пути от откидного бруса или знака "граница подъездного пути" до конечного пункта железнодорожных путей, независимо от того является ли самый протяженный путь самостоятельным или это расстояние включает в себя несколько путей, съездов, ответвлений. Эксплуатационная длина путей, не имеющих выхода на сеть железных дорог общего пользования, определяется по оси путей между конечными пунктами объектов предприятия, В эксплуатационную длину путей включаются все ответвления, на которых производятся погрузочно-разгрузочные работы. Длина станционных путей или путей разъездов (кроме главных) на железнодорожных линиях необщего пользования в общую эксплуатационную длину не включается, даже если станционные пути одновременно используются для погрузки и разгрузки вагонов.</w:t>
      </w:r>
    </w:p>
    <w:p w:rsidR="00CE2315" w:rsidRPr="00CE2315" w:rsidRDefault="00CE2315" w:rsidP="00CE2315">
      <w:pPr>
        <w:rPr>
          <w:sz w:val="28"/>
          <w:szCs w:val="28"/>
        </w:rPr>
      </w:pPr>
      <w:r w:rsidRPr="00CE2315">
        <w:rPr>
          <w:sz w:val="28"/>
          <w:szCs w:val="28"/>
        </w:rPr>
        <w:t>23. Развернутая длина железнодорожного пути в километрах определяется как сумма длин всех путей (главных, станционных, специальных).</w:t>
      </w:r>
    </w:p>
    <w:p w:rsidR="00CE2315" w:rsidRPr="00CE2315" w:rsidRDefault="00CE2315" w:rsidP="00CE2315">
      <w:pPr>
        <w:rPr>
          <w:sz w:val="28"/>
          <w:szCs w:val="28"/>
        </w:rPr>
      </w:pPr>
      <w:r w:rsidRPr="00CE2315">
        <w:rPr>
          <w:sz w:val="28"/>
          <w:szCs w:val="28"/>
        </w:rPr>
        <w:t>В строку 241 включается суммарная длина всех без исключения путей (главных, станционных, специальных).</w:t>
      </w:r>
    </w:p>
    <w:p w:rsidR="00CE2315" w:rsidRPr="00CE2315" w:rsidRDefault="00CE2315" w:rsidP="00CE2315">
      <w:pPr>
        <w:rPr>
          <w:sz w:val="28"/>
          <w:szCs w:val="28"/>
        </w:rPr>
      </w:pPr>
      <w:r w:rsidRPr="00CE2315">
        <w:rPr>
          <w:sz w:val="28"/>
          <w:szCs w:val="28"/>
        </w:rPr>
        <w:t>При этом участки с двумя путями засчитываются в длину дважды, с тремя путями - трижды.</w:t>
      </w:r>
    </w:p>
    <w:p w:rsidR="00CE2315" w:rsidRPr="00CE2315" w:rsidRDefault="00CE2315" w:rsidP="00CE2315">
      <w:pPr>
        <w:rPr>
          <w:sz w:val="28"/>
          <w:szCs w:val="28"/>
        </w:rPr>
      </w:pPr>
      <w:r w:rsidRPr="00CE2315">
        <w:rPr>
          <w:sz w:val="28"/>
          <w:szCs w:val="28"/>
        </w:rPr>
        <w:t>Например, подъездной путь состоит из трех путей, из них главный от начала до тупика - 1,8 км, один прилегающий к нему - 0,7 км и другой - 0,5 км. Таким образом, развернутая длина этого подъездного пути будет: 1,8 км + 0,7 км + 0,5 км = 3,0 км.</w:t>
      </w:r>
    </w:p>
    <w:p w:rsidR="00E62F06" w:rsidRPr="00CE2315" w:rsidRDefault="00CE2315" w:rsidP="00CE2315">
      <w:pPr>
        <w:rPr>
          <w:sz w:val="28"/>
          <w:szCs w:val="28"/>
        </w:rPr>
      </w:pPr>
      <w:r w:rsidRPr="00CE2315">
        <w:rPr>
          <w:sz w:val="28"/>
          <w:szCs w:val="28"/>
        </w:rPr>
        <w:t xml:space="preserve">24. В общую протяженность развернутой длины включаются пути для перевозки горячих грузов (металла, кокса, шлаков), а также постоянные внешние, соединительные и главные станционные пути. К </w:t>
      </w:r>
      <w:proofErr w:type="gramStart"/>
      <w:r w:rsidRPr="00CE2315">
        <w:rPr>
          <w:sz w:val="28"/>
          <w:szCs w:val="28"/>
        </w:rPr>
        <w:t>внешним</w:t>
      </w:r>
      <w:proofErr w:type="gramEnd"/>
      <w:r w:rsidRPr="00CE2315">
        <w:rPr>
          <w:sz w:val="28"/>
          <w:szCs w:val="28"/>
        </w:rPr>
        <w:t xml:space="preserve"> относятся пути, соединяющие одно или несколько предприятий (организаций) или отдельные производства, расположенные на обособленных площадках, с железными дорогами общей сети Российской Федерации непрерывной рельсовой колеей. К соединительным путям относятся пути, соединяющие промышленные станции и станции промышленных узлов предприятий или отдельные производства, расположенные на обособленных площадках, между собой или с погрузочно-разгрузочным фронтом.</w:t>
      </w:r>
    </w:p>
    <w:sectPr w:rsidR="00E62F06" w:rsidRPr="00CE2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15"/>
    <w:rsid w:val="00CE2315"/>
    <w:rsid w:val="00E62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2814</Words>
  <Characters>16043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 Екатерина Александровна</dc:creator>
  <cp:keywords/>
  <dc:description/>
  <cp:lastModifiedBy>Журавлева Екатерина Александровна</cp:lastModifiedBy>
  <cp:revision>1</cp:revision>
  <dcterms:created xsi:type="dcterms:W3CDTF">2020-12-22T13:36:00Z</dcterms:created>
  <dcterms:modified xsi:type="dcterms:W3CDTF">2020-12-22T13:39:00Z</dcterms:modified>
</cp:coreProperties>
</file>